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6C8" w:rsidRDefault="000536C8">
      <w:pPr>
        <w:rPr>
          <w:rFonts w:ascii="Oxfam Headline" w:hAnsi="Oxfam Headline"/>
          <w:b/>
          <w:color w:val="A8D08D" w:themeColor="accent6" w:themeTint="99"/>
          <w:sz w:val="36"/>
          <w:szCs w:val="36"/>
        </w:rPr>
      </w:pPr>
      <w:bookmarkStart w:id="1" w:name="_GoBack"/>
      <w:bookmarkEnd w:id="1"/>
    </w:p>
    <w:p w:rsidR="000536C8" w:rsidRDefault="000536C8">
      <w:pPr>
        <w:rPr>
          <w:rFonts w:ascii="Oxfam Headline" w:hAnsi="Oxfam Headline"/>
          <w:b/>
          <w:color w:val="A8D08D" w:themeColor="accent6" w:themeTint="99"/>
          <w:sz w:val="36"/>
          <w:szCs w:val="36"/>
        </w:rPr>
      </w:pPr>
    </w:p>
    <w:p w:rsidR="000536C8" w:rsidRDefault="000536C8" w:rsidP="000536C8">
      <w:pPr>
        <w:tabs>
          <w:tab w:val="left" w:pos="11400"/>
        </w:tabs>
        <w:rPr>
          <w:rFonts w:ascii="Oxfam Headline" w:hAnsi="Oxfam Headline"/>
          <w:b/>
          <w:color w:val="A8D08D" w:themeColor="accent6" w:themeTint="99"/>
          <w:sz w:val="36"/>
          <w:szCs w:val="36"/>
        </w:rPr>
        <w:sectPr w:rsidR="000536C8" w:rsidSect="00043868">
          <w:headerReference w:type="default" r:id="rId7"/>
          <w:footerReference w:type="default" r:id="rId8"/>
          <w:pgSz w:w="16838" w:h="11906" w:orient="landscape"/>
          <w:pgMar w:top="1440" w:right="1440" w:bottom="1440" w:left="1440" w:header="708" w:footer="708" w:gutter="0"/>
          <w:cols w:space="708"/>
          <w:docGrid w:linePitch="360"/>
        </w:sectPr>
      </w:pPr>
      <w:r>
        <w:tab/>
      </w:r>
    </w:p>
    <w:p w:rsidR="000536C8" w:rsidRDefault="000536C8" w:rsidP="000536C8">
      <w:pPr>
        <w:tabs>
          <w:tab w:val="left" w:pos="11400"/>
        </w:tabs>
        <w:rPr>
          <w:rFonts w:ascii="Oxfam Headline" w:hAnsi="Oxfam Headline"/>
          <w:b/>
          <w:color w:val="A8D08D" w:themeColor="accent6" w:themeTint="99"/>
          <w:sz w:val="36"/>
          <w:szCs w:val="36"/>
        </w:rPr>
      </w:pPr>
    </w:p>
    <w:p w:rsidR="00A959D7" w:rsidRDefault="00B55AD4">
      <w:pPr>
        <w:rPr>
          <w:rFonts w:ascii="Oxfam Headline" w:hAnsi="Oxfam Headline"/>
          <w:b/>
          <w:color w:val="A8D08D" w:themeColor="accent6" w:themeTint="99"/>
          <w:sz w:val="36"/>
          <w:szCs w:val="36"/>
        </w:rPr>
      </w:pPr>
      <w:r>
        <w:rPr>
          <w:rFonts w:ascii="Oxfam Headline" w:hAnsi="Oxfam Headline"/>
          <w:b/>
          <w:color w:val="A8D08D" w:themeColor="accent6" w:themeTint="99"/>
          <w:sz w:val="36"/>
        </w:rPr>
        <w:t xml:space="preserve">Budgétisation sensible au genre - Le cycle budgétaire </w:t>
      </w:r>
      <w:r w:rsidR="003C3A1D">
        <w:rPr>
          <w:rFonts w:ascii="Oxfam Headline" w:hAnsi="Oxfam Headline"/>
          <w:b/>
          <w:color w:val="A8D08D" w:themeColor="accent6" w:themeTint="99"/>
          <w:sz w:val="36"/>
        </w:rPr>
        <w:t xml:space="preserve">pour les </w:t>
      </w:r>
      <w:r w:rsidR="003C3A1D" w:rsidRPr="003C3A1D">
        <w:rPr>
          <w:rFonts w:ascii="Oxfam Headline" w:hAnsi="Oxfam Headline"/>
          <w:b/>
          <w:color w:val="FF0000"/>
          <w:sz w:val="36"/>
        </w:rPr>
        <w:t>formateurs/trices</w:t>
      </w:r>
    </w:p>
    <w:p w:rsidR="00B55AD4" w:rsidRPr="00BE750A" w:rsidRDefault="00B55AD4">
      <w:pPr>
        <w:rPr>
          <w:rFonts w:ascii="Arial" w:hAnsi="Arial" w:cs="Arial"/>
          <w:b/>
          <w:sz w:val="24"/>
          <w:szCs w:val="24"/>
        </w:rPr>
      </w:pPr>
      <w:r>
        <w:rPr>
          <w:rFonts w:ascii="Arial" w:hAnsi="Arial"/>
          <w:b/>
          <w:sz w:val="24"/>
        </w:rPr>
        <w:t>À propos du schéma du cycle budgétaire</w:t>
      </w:r>
    </w:p>
    <w:p w:rsidR="00B55AD4" w:rsidRDefault="00E71D2F" w:rsidP="000536C8">
      <w:r>
        <w:t>Le schéma du cycle budgétaire suivant est conçu comme un outil à utiliser lors des formations sur la budgétisation sensible au genre. Il aide celles et ceux qui élaborent les stratégies de budgétisation sensible au genre à réfléchir aux actions à entreprendre à chaque étape du processus budgétaire. Le schéma illustre un cycle budgétaire type (</w:t>
      </w:r>
      <w:r>
        <w:rPr>
          <w:color w:val="00B050"/>
        </w:rPr>
        <w:t>cercle interne vert</w:t>
      </w:r>
      <w:r>
        <w:t xml:space="preserve">) et les actions que les différents intervenants peuvent entreprendre pour promouvoir la budgétisation sensible au genre à différentes étapes de ce cycle : </w:t>
      </w:r>
    </w:p>
    <w:p w:rsidR="00180557" w:rsidRDefault="00B55AD4" w:rsidP="008E5BA7">
      <w:pPr>
        <w:ind w:left="720"/>
      </w:pPr>
      <w:r>
        <w:t xml:space="preserve">Le </w:t>
      </w:r>
      <w:r>
        <w:rPr>
          <w:b/>
          <w:color w:val="7030A0"/>
        </w:rPr>
        <w:t>cercle médian</w:t>
      </w:r>
      <w:r>
        <w:t xml:space="preserve"> (violet) indique les mesures que l'État doit prendre pour que le budget tienne compte des questions de genre à chaque étape du processus budgétaire. </w:t>
      </w:r>
    </w:p>
    <w:p w:rsidR="000536C8" w:rsidRDefault="00B55AD4" w:rsidP="009E56E2">
      <w:pPr>
        <w:tabs>
          <w:tab w:val="right" w:pos="13958"/>
        </w:tabs>
        <w:ind w:left="720"/>
      </w:pPr>
      <w:r>
        <w:t xml:space="preserve">Le </w:t>
      </w:r>
      <w:r>
        <w:rPr>
          <w:b/>
          <w:color w:val="C45911" w:themeColor="accent2" w:themeShade="BF"/>
        </w:rPr>
        <w:t>cercle externe</w:t>
      </w:r>
      <w:r>
        <w:t xml:space="preserve"> (orange) présente les actions que les organisations de la société civile peuvent entreprendre pour promouvoir une budgétisation sensible au genre. </w:t>
      </w:r>
      <w:r>
        <w:tab/>
      </w:r>
    </w:p>
    <w:p w:rsidR="00B55AD4" w:rsidRDefault="00B55AD4" w:rsidP="004E0EC1">
      <w:pPr>
        <w:ind w:left="720"/>
      </w:pPr>
      <w:r>
        <w:t xml:space="preserve">Les </w:t>
      </w:r>
      <w:r>
        <w:rPr>
          <w:color w:val="404040" w:themeColor="text1" w:themeTint="BF"/>
        </w:rPr>
        <w:t>trois disques distincts</w:t>
      </w:r>
      <w:r>
        <w:t xml:space="preserve"> (gris) répertorient les actions que l'État, les organisations de la société civile et les ONG internationales doivent mener tout au long du cycle budgétaire, comme la formation et le renforcement des capacités. </w:t>
      </w:r>
    </w:p>
    <w:p w:rsidR="004E0EC1" w:rsidRDefault="00090B4A">
      <w:pPr>
        <w:rPr>
          <w:rFonts w:ascii="Arial" w:hAnsi="Arial" w:cs="Arial"/>
          <w:b/>
          <w:sz w:val="24"/>
          <w:szCs w:val="24"/>
        </w:rPr>
        <w:sectPr w:rsidR="004E0EC1" w:rsidSect="009E56E2">
          <w:headerReference w:type="default" r:id="rId9"/>
          <w:type w:val="continuous"/>
          <w:pgSz w:w="16838" w:h="11906" w:orient="landscape"/>
          <w:pgMar w:top="1440" w:right="1440" w:bottom="1440" w:left="1440" w:header="708" w:footer="708" w:gutter="0"/>
          <w:cols w:space="708"/>
          <w:docGrid w:linePitch="360"/>
        </w:sectPr>
      </w:pPr>
      <w:r>
        <w:rPr>
          <w:rFonts w:ascii="Arial" w:hAnsi="Arial" w:cs="Arial"/>
          <w:b/>
          <w:noProof/>
          <w:sz w:val="24"/>
          <w:szCs w:val="24"/>
          <w:lang w:val="pt-BR" w:eastAsia="pt-BR" w:bidi="ar-SA"/>
        </w:rPr>
        <w:lastRenderedPageBreak/>
        <w:drawing>
          <wp:inline distT="0" distB="0" distL="0" distR="0">
            <wp:extent cx="7896225" cy="5552716"/>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7908063" cy="5561040"/>
                    </a:xfrm>
                    <a:prstGeom prst="rect">
                      <a:avLst/>
                    </a:prstGeom>
                    <a:noFill/>
                    <a:ln w="9525">
                      <a:noFill/>
                      <a:miter lim="800000"/>
                      <a:headEnd/>
                      <a:tailEnd/>
                    </a:ln>
                  </pic:spPr>
                </pic:pic>
              </a:graphicData>
            </a:graphic>
          </wp:inline>
        </w:drawing>
      </w:r>
    </w:p>
    <w:p w:rsidR="000536C8" w:rsidRDefault="000536C8">
      <w:pPr>
        <w:rPr>
          <w:rFonts w:ascii="Arial" w:hAnsi="Arial" w:cs="Arial"/>
          <w:b/>
          <w:sz w:val="24"/>
          <w:szCs w:val="24"/>
        </w:rPr>
      </w:pPr>
    </w:p>
    <w:p w:rsidR="000536C8" w:rsidRDefault="000536C8">
      <w:pPr>
        <w:rPr>
          <w:rFonts w:ascii="Arial" w:hAnsi="Arial" w:cs="Arial"/>
          <w:b/>
          <w:sz w:val="24"/>
          <w:szCs w:val="24"/>
        </w:rPr>
      </w:pPr>
    </w:p>
    <w:p w:rsidR="000536C8" w:rsidRDefault="000536C8">
      <w:pPr>
        <w:rPr>
          <w:rFonts w:ascii="Arial" w:hAnsi="Arial" w:cs="Arial"/>
          <w:b/>
          <w:sz w:val="24"/>
          <w:szCs w:val="24"/>
        </w:rPr>
      </w:pPr>
    </w:p>
    <w:p w:rsidR="000536C8" w:rsidRDefault="000536C8">
      <w:pPr>
        <w:rPr>
          <w:rFonts w:ascii="Arial" w:hAnsi="Arial" w:cs="Arial"/>
          <w:b/>
          <w:sz w:val="24"/>
          <w:szCs w:val="24"/>
        </w:rPr>
      </w:pPr>
    </w:p>
    <w:p w:rsidR="00090B4A" w:rsidRDefault="00090B4A">
      <w:pPr>
        <w:rPr>
          <w:rFonts w:ascii="Arial" w:hAnsi="Arial"/>
          <w:b/>
          <w:sz w:val="24"/>
        </w:rPr>
      </w:pPr>
    </w:p>
    <w:p w:rsidR="00090B4A" w:rsidRDefault="00090B4A">
      <w:pPr>
        <w:rPr>
          <w:rFonts w:ascii="Arial" w:hAnsi="Arial"/>
          <w:b/>
          <w:sz w:val="24"/>
        </w:rPr>
      </w:pPr>
    </w:p>
    <w:p w:rsidR="003C3A1D" w:rsidRDefault="003C3A1D" w:rsidP="003C3A1D">
      <w:pPr>
        <w:rPr>
          <w:b/>
        </w:rPr>
        <w:sectPr w:rsidR="003C3A1D" w:rsidSect="000536C8">
          <w:headerReference w:type="default" r:id="rId11"/>
          <w:type w:val="continuous"/>
          <w:pgSz w:w="16838" w:h="11906" w:orient="landscape"/>
          <w:pgMar w:top="1440" w:right="1440" w:bottom="1440" w:left="1440" w:header="708" w:footer="708" w:gutter="0"/>
          <w:cols w:space="708"/>
          <w:docGrid w:linePitch="360"/>
        </w:sectPr>
      </w:pPr>
      <w:r>
        <w:rPr>
          <w:b/>
        </w:rPr>
        <w:t>Remarque : ce schéma se base sur un cycle budgétaire « type »</w:t>
      </w:r>
      <w:r w:rsidR="008E5BA7">
        <w:rPr>
          <w:b/>
        </w:rPr>
        <w:t xml:space="preserve"> </w:t>
      </w:r>
      <w:r w:rsidR="008E5BA7" w:rsidRPr="008E5BA7">
        <w:rPr>
          <w:b/>
          <w:color w:val="FF0000"/>
        </w:rPr>
        <w:t>d’un pays x</w:t>
      </w:r>
      <w:r>
        <w:rPr>
          <w:b/>
        </w:rPr>
        <w:t>, mais les cycles budgétaires varient d'un pays à l'autre. Certains pays travaillent sur un plan triennal ou quinquennal, révisable chaque année. Les autorités locales ou régionales ne jouissent pas du même niveau de pouvoir pour collecter l'impôt et statuer sur les priorités de dépenses selon le pays.</w:t>
      </w:r>
    </w:p>
    <w:p w:rsidR="00B55AD4" w:rsidRPr="00BE750A" w:rsidRDefault="00B55AD4">
      <w:pPr>
        <w:rPr>
          <w:rFonts w:ascii="Arial" w:hAnsi="Arial" w:cs="Arial"/>
          <w:b/>
          <w:sz w:val="24"/>
          <w:szCs w:val="24"/>
        </w:rPr>
      </w:pPr>
      <w:r>
        <w:rPr>
          <w:rFonts w:ascii="Arial" w:hAnsi="Arial"/>
          <w:b/>
          <w:sz w:val="24"/>
        </w:rPr>
        <w:t>Schéma du cycle budgétaire - Mode d'emploi</w:t>
      </w:r>
    </w:p>
    <w:p w:rsidR="00584417" w:rsidRDefault="00584417">
      <w:r>
        <w:t xml:space="preserve">Le schéma du cycle budgétaire est destiné aux formations s'adressant à des participants qui ont déjà quelques notions de la budgétisation sensible au genre, connaissent les raisons d'adopter une stratégie de budgétisation sensible au genre et maîtrisent les points clés lors de l'analyse d'un budget. </w:t>
      </w:r>
    </w:p>
    <w:p w:rsidR="00E71D2F" w:rsidRDefault="00E71D2F" w:rsidP="00892DC8">
      <w:pPr>
        <w:pStyle w:val="PargrafodaLista"/>
        <w:numPr>
          <w:ilvl w:val="0"/>
          <w:numId w:val="1"/>
        </w:numPr>
      </w:pPr>
      <w:r>
        <w:t xml:space="preserve">Découvrez combien de participants ont déjà des notions en matière de budgétisation sensible au genre. Si les connaissances sont rudimentaires, vous pouvez utiliser le PowerPoint créé par le Women's Budget Group (Royaume-Uni) ici </w:t>
      </w:r>
      <w:r w:rsidRPr="008E5BA7">
        <w:rPr>
          <w:color w:val="FF0000"/>
        </w:rPr>
        <w:t xml:space="preserve">[lien vers le PowerPoint] </w:t>
      </w:r>
      <w:r>
        <w:t xml:space="preserve">pour présenter le concept de base de la budgétisation sensible au genre. Un guide </w:t>
      </w:r>
      <w:r w:rsidR="00935301">
        <w:t xml:space="preserve">rapide </w:t>
      </w:r>
      <w:r>
        <w:t>sur la budgétisation sensible au genre est également disponible ici [lien vers le guide approximatif sur la budgétisation sensible au genre]</w:t>
      </w:r>
      <w:r w:rsidRPr="008E5BA7">
        <w:rPr>
          <w:color w:val="FF0000"/>
        </w:rPr>
        <w:t xml:space="preserve"> </w:t>
      </w:r>
    </w:p>
    <w:p w:rsidR="00584417" w:rsidRDefault="00584417" w:rsidP="00A959D7">
      <w:pPr>
        <w:pStyle w:val="PargrafodaLista"/>
        <w:numPr>
          <w:ilvl w:val="0"/>
          <w:numId w:val="1"/>
        </w:numPr>
      </w:pPr>
      <w:r>
        <w:t>Présentation du schéma du cycle budgétaire</w:t>
      </w:r>
      <w:r w:rsidR="00A62592">
        <w:t xml:space="preserve">, </w:t>
      </w:r>
      <w:r w:rsidR="00A62592" w:rsidRPr="001D1F7E">
        <w:rPr>
          <w:color w:val="FF0000"/>
        </w:rPr>
        <w:t xml:space="preserve">utilisant la version traduit en langue locale et </w:t>
      </w:r>
      <w:r w:rsidR="007F0B06" w:rsidRPr="001D1F7E">
        <w:rPr>
          <w:color w:val="FF0000"/>
        </w:rPr>
        <w:t>élargi</w:t>
      </w:r>
      <w:r w:rsidR="00A62592" w:rsidRPr="001D1F7E">
        <w:rPr>
          <w:color w:val="FF0000"/>
        </w:rPr>
        <w:t xml:space="preserve"> pour </w:t>
      </w:r>
      <w:r w:rsidR="007F0B06" w:rsidRPr="001D1F7E">
        <w:rPr>
          <w:color w:val="FF0000"/>
        </w:rPr>
        <w:t>facilement</w:t>
      </w:r>
      <w:r w:rsidR="00A62592" w:rsidRPr="001D1F7E">
        <w:rPr>
          <w:color w:val="FF0000"/>
        </w:rPr>
        <w:t xml:space="preserve"> lire en groupe</w:t>
      </w:r>
    </w:p>
    <w:p w:rsidR="00584417" w:rsidRDefault="00584417" w:rsidP="008E5BA7">
      <w:pPr>
        <w:pStyle w:val="PargrafodaLista"/>
        <w:numPr>
          <w:ilvl w:val="0"/>
          <w:numId w:val="2"/>
        </w:numPr>
        <w:ind w:left="1080"/>
      </w:pPr>
      <w:r>
        <w:t xml:space="preserve">Expliquez que le </w:t>
      </w:r>
      <w:r w:rsidRPr="00A62592">
        <w:rPr>
          <w:color w:val="00B050"/>
        </w:rPr>
        <w:t>cercle intérieur</w:t>
      </w:r>
      <w:r>
        <w:t xml:space="preserve"> représente un cycle budgétaire « type » et que le cycle budgétaire de leur pays peut être différent de celui-ci. </w:t>
      </w:r>
    </w:p>
    <w:p w:rsidR="00584417" w:rsidRDefault="00584417" w:rsidP="008E5BA7">
      <w:pPr>
        <w:pStyle w:val="PargrafodaLista"/>
        <w:numPr>
          <w:ilvl w:val="0"/>
          <w:numId w:val="2"/>
        </w:numPr>
        <w:ind w:left="1080"/>
      </w:pPr>
      <w:r>
        <w:t xml:space="preserve">Le </w:t>
      </w:r>
      <w:r w:rsidRPr="00A62592">
        <w:rPr>
          <w:b/>
          <w:color w:val="7030A0"/>
        </w:rPr>
        <w:t>cercle suivant</w:t>
      </w:r>
      <w:r>
        <w:t xml:space="preserve"> indique les actions que l'État doit entreprendre dans le cadre d'un budget sensible au genre. Précisez que certaines actions portent sur des étapes spécifiques du budget et que d'autres (disque gris, en bas à droite) doivent être menées tout au long du cycle. </w:t>
      </w:r>
    </w:p>
    <w:p w:rsidR="004E0EC1" w:rsidRDefault="00584417" w:rsidP="008E5BA7">
      <w:pPr>
        <w:pStyle w:val="PargrafodaLista"/>
        <w:numPr>
          <w:ilvl w:val="0"/>
          <w:numId w:val="2"/>
        </w:numPr>
        <w:ind w:left="1080"/>
      </w:pPr>
      <w:r>
        <w:t xml:space="preserve">Le </w:t>
      </w:r>
      <w:r w:rsidRPr="00A62592">
        <w:rPr>
          <w:b/>
          <w:color w:val="C45911" w:themeColor="accent2" w:themeShade="BF"/>
        </w:rPr>
        <w:t>cercle extérieur</w:t>
      </w:r>
      <w:r w:rsidR="00A62592">
        <w:t xml:space="preserve"> </w:t>
      </w:r>
      <w:r>
        <w:t xml:space="preserve">indique les actions que les organisations de la société civile peuvent entreprendre pour promouvoir la budgétisation sensible au genre à différentes étapes du cycle budgétaire. Chaque étape offre différentes opportunités pour demander des comptes à l'État. </w:t>
      </w:r>
    </w:p>
    <w:p w:rsidR="00DC6957" w:rsidRDefault="00DC6957" w:rsidP="008E5BA7"/>
    <w:p w:rsidR="00DC6957" w:rsidRDefault="00DC6957" w:rsidP="00DC6957">
      <w:pPr>
        <w:pStyle w:val="PargrafodaLista"/>
      </w:pPr>
    </w:p>
    <w:p w:rsidR="00DC6957" w:rsidRDefault="00DC6957" w:rsidP="00DC6957">
      <w:pPr>
        <w:pStyle w:val="PargrafodaLista"/>
      </w:pPr>
    </w:p>
    <w:p w:rsidR="00DC6957" w:rsidRDefault="00DC6957" w:rsidP="00DC6957">
      <w:pPr>
        <w:pStyle w:val="PargrafodaLista"/>
      </w:pPr>
    </w:p>
    <w:p w:rsidR="00DC6957" w:rsidRDefault="00DC6957" w:rsidP="00DC6957">
      <w:pPr>
        <w:pStyle w:val="PargrafodaLista"/>
      </w:pPr>
    </w:p>
    <w:p w:rsidR="00DC6957" w:rsidRDefault="00DC6957" w:rsidP="00DC6957">
      <w:pPr>
        <w:pStyle w:val="PargrafodaLista"/>
      </w:pPr>
    </w:p>
    <w:p w:rsidR="00DC6957" w:rsidRDefault="00DC6957" w:rsidP="00DC6957">
      <w:pPr>
        <w:pStyle w:val="PargrafodaLista"/>
      </w:pPr>
    </w:p>
    <w:p w:rsidR="00DC6957" w:rsidRDefault="00DC6957" w:rsidP="00DC6957">
      <w:pPr>
        <w:pStyle w:val="PargrafodaLista"/>
      </w:pPr>
    </w:p>
    <w:p w:rsidR="00DC6957" w:rsidRDefault="00DC6957" w:rsidP="00DC6957">
      <w:pPr>
        <w:pStyle w:val="PargrafodaLista"/>
      </w:pPr>
    </w:p>
    <w:p w:rsidR="00DC6957" w:rsidRDefault="00DC6957" w:rsidP="00DC6957">
      <w:pPr>
        <w:pStyle w:val="PargrafodaLista"/>
      </w:pPr>
    </w:p>
    <w:p w:rsidR="00A62592" w:rsidRPr="0044567E" w:rsidRDefault="00A62592" w:rsidP="00A62592">
      <w:pPr>
        <w:pStyle w:val="PargrafodaLista"/>
        <w:numPr>
          <w:ilvl w:val="0"/>
          <w:numId w:val="1"/>
        </w:numPr>
        <w:ind w:left="360"/>
        <w:rPr>
          <w:color w:val="FF0000"/>
        </w:rPr>
      </w:pPr>
      <w:r>
        <w:rPr>
          <w:color w:val="FF0000"/>
        </w:rPr>
        <w:t>Introduisez le system budgétaire du pays ou localité qui est sujet de la formation</w:t>
      </w:r>
      <w:r w:rsidRPr="0044567E">
        <w:rPr>
          <w:color w:val="FF0000"/>
        </w:rPr>
        <w:t xml:space="preserve">. </w:t>
      </w:r>
      <w:r>
        <w:rPr>
          <w:color w:val="FF0000"/>
        </w:rPr>
        <w:t xml:space="preserve">Ensuite, comme </w:t>
      </w:r>
      <w:r w:rsidR="007F0B06">
        <w:rPr>
          <w:color w:val="FF0000"/>
        </w:rPr>
        <w:t>exercice</w:t>
      </w:r>
      <w:r w:rsidRPr="0044567E">
        <w:rPr>
          <w:color w:val="FF0000"/>
        </w:rPr>
        <w:t>, u</w:t>
      </w:r>
      <w:r>
        <w:rPr>
          <w:color w:val="FF0000"/>
        </w:rPr>
        <w:t xml:space="preserve">tilisez la version du scheme vide </w:t>
      </w:r>
      <w:r w:rsidRPr="0044567E">
        <w:rPr>
          <w:color w:val="FF0000"/>
        </w:rPr>
        <w:t xml:space="preserve">[link] </w:t>
      </w:r>
      <w:r>
        <w:rPr>
          <w:color w:val="FF0000"/>
        </w:rPr>
        <w:t>et demandez que les participants la remplisser</w:t>
      </w:r>
      <w:r w:rsidRPr="0044567E">
        <w:rPr>
          <w:color w:val="FF0000"/>
        </w:rPr>
        <w:t>:</w:t>
      </w:r>
    </w:p>
    <w:p w:rsidR="00A62592" w:rsidRPr="0044567E" w:rsidRDefault="00A62592" w:rsidP="00A62592">
      <w:pPr>
        <w:pStyle w:val="PargrafodaLista"/>
        <w:numPr>
          <w:ilvl w:val="0"/>
          <w:numId w:val="4"/>
        </w:numPr>
        <w:rPr>
          <w:color w:val="FF0000"/>
        </w:rPr>
      </w:pPr>
      <w:r>
        <w:rPr>
          <w:color w:val="FF0000"/>
        </w:rPr>
        <w:t xml:space="preserve">En </w:t>
      </w:r>
      <w:r w:rsidR="007F0B06">
        <w:rPr>
          <w:color w:val="FF0000"/>
        </w:rPr>
        <w:t>décrivant</w:t>
      </w:r>
      <w:r>
        <w:rPr>
          <w:color w:val="FF0000"/>
        </w:rPr>
        <w:t xml:space="preserve"> the system </w:t>
      </w:r>
      <w:r w:rsidR="007F0B06">
        <w:rPr>
          <w:color w:val="FF0000"/>
        </w:rPr>
        <w:t>budgétaire</w:t>
      </w:r>
      <w:r>
        <w:rPr>
          <w:color w:val="FF0000"/>
        </w:rPr>
        <w:t xml:space="preserve"> actuel du pays</w:t>
      </w:r>
      <w:r w:rsidRPr="0044567E">
        <w:rPr>
          <w:color w:val="FF0000"/>
        </w:rPr>
        <w:t xml:space="preserve"> (</w:t>
      </w:r>
      <w:r w:rsidR="001D1F7E">
        <w:rPr>
          <w:color w:val="FF0000"/>
        </w:rPr>
        <w:t xml:space="preserve">cercle </w:t>
      </w:r>
      <w:r w:rsidR="007F0B06">
        <w:rPr>
          <w:color w:val="FF0000"/>
        </w:rPr>
        <w:t>intérieur</w:t>
      </w:r>
      <w:r w:rsidRPr="0044567E">
        <w:rPr>
          <w:color w:val="FF0000"/>
        </w:rPr>
        <w:t>)</w:t>
      </w:r>
    </w:p>
    <w:p w:rsidR="00A62592" w:rsidRPr="0044567E" w:rsidRDefault="001D1F7E" w:rsidP="00A62592">
      <w:pPr>
        <w:pStyle w:val="PargrafodaLista"/>
        <w:numPr>
          <w:ilvl w:val="0"/>
          <w:numId w:val="4"/>
        </w:numPr>
        <w:rPr>
          <w:color w:val="FF0000"/>
        </w:rPr>
      </w:pPr>
      <w:r>
        <w:rPr>
          <w:color w:val="FF0000"/>
        </w:rPr>
        <w:t xml:space="preserve">En identifiant </w:t>
      </w:r>
      <w:r w:rsidR="007F0B06">
        <w:rPr>
          <w:color w:val="FF0000"/>
        </w:rPr>
        <w:t>ce</w:t>
      </w:r>
      <w:r>
        <w:rPr>
          <w:color w:val="FF0000"/>
        </w:rPr>
        <w:t xml:space="preserve"> que l’</w:t>
      </w:r>
      <w:r w:rsidR="007F0B06">
        <w:rPr>
          <w:color w:val="FF0000"/>
        </w:rPr>
        <w:t>état</w:t>
      </w:r>
      <w:r>
        <w:rPr>
          <w:color w:val="FF0000"/>
        </w:rPr>
        <w:t xml:space="preserve"> est en train de mener en liaison avec la </w:t>
      </w:r>
      <w:r w:rsidR="007F0B06">
        <w:rPr>
          <w:color w:val="FF0000"/>
        </w:rPr>
        <w:t>budgétisation</w:t>
      </w:r>
      <w:r>
        <w:rPr>
          <w:color w:val="FF0000"/>
        </w:rPr>
        <w:t xml:space="preserve"> sensible au genre autour des </w:t>
      </w:r>
      <w:r w:rsidR="007F0B06">
        <w:rPr>
          <w:color w:val="FF0000"/>
        </w:rPr>
        <w:t>étapes</w:t>
      </w:r>
      <w:r>
        <w:rPr>
          <w:color w:val="FF0000"/>
        </w:rPr>
        <w:t xml:space="preserve"> </w:t>
      </w:r>
      <w:r w:rsidR="007F0B06">
        <w:rPr>
          <w:color w:val="FF0000"/>
        </w:rPr>
        <w:t>différentes</w:t>
      </w:r>
      <w:r>
        <w:rPr>
          <w:color w:val="FF0000"/>
        </w:rPr>
        <w:t xml:space="preserve"> du budget</w:t>
      </w:r>
      <w:r w:rsidR="00A62592" w:rsidRPr="0044567E">
        <w:rPr>
          <w:color w:val="FF0000"/>
        </w:rPr>
        <w:t xml:space="preserve"> (</w:t>
      </w:r>
      <w:r>
        <w:rPr>
          <w:color w:val="FF0000"/>
        </w:rPr>
        <w:t>cercle suivant</w:t>
      </w:r>
      <w:r w:rsidR="00A62592" w:rsidRPr="0044567E">
        <w:rPr>
          <w:color w:val="FF0000"/>
        </w:rPr>
        <w:t>)</w:t>
      </w:r>
    </w:p>
    <w:p w:rsidR="00A62592" w:rsidRPr="0044567E" w:rsidRDefault="001D1F7E" w:rsidP="00A62592">
      <w:pPr>
        <w:pStyle w:val="PargrafodaLista"/>
        <w:numPr>
          <w:ilvl w:val="0"/>
          <w:numId w:val="4"/>
        </w:numPr>
        <w:rPr>
          <w:color w:val="FF0000"/>
        </w:rPr>
      </w:pPr>
      <w:r>
        <w:rPr>
          <w:color w:val="FF0000"/>
        </w:rPr>
        <w:t xml:space="preserve">En </w:t>
      </w:r>
      <w:r w:rsidR="007F0B06">
        <w:rPr>
          <w:color w:val="FF0000"/>
        </w:rPr>
        <w:t>décrivant</w:t>
      </w:r>
      <w:r>
        <w:rPr>
          <w:color w:val="FF0000"/>
        </w:rPr>
        <w:t xml:space="preserve"> des </w:t>
      </w:r>
      <w:r w:rsidR="007F0B06">
        <w:rPr>
          <w:color w:val="FF0000"/>
        </w:rPr>
        <w:t>activités</w:t>
      </w:r>
      <w:r>
        <w:rPr>
          <w:color w:val="FF0000"/>
        </w:rPr>
        <w:t xml:space="preserve"> </w:t>
      </w:r>
      <w:r w:rsidR="007F0B06">
        <w:rPr>
          <w:color w:val="FF0000"/>
        </w:rPr>
        <w:t>différentes</w:t>
      </w:r>
      <w:r>
        <w:rPr>
          <w:color w:val="FF0000"/>
        </w:rPr>
        <w:t xml:space="preserve"> d’autres acteurs </w:t>
      </w:r>
      <w:r w:rsidR="00A62592" w:rsidRPr="0044567E">
        <w:rPr>
          <w:color w:val="FF0000"/>
        </w:rPr>
        <w:t>(</w:t>
      </w:r>
      <w:r>
        <w:rPr>
          <w:color w:val="FF0000"/>
        </w:rPr>
        <w:t xml:space="preserve">cercle </w:t>
      </w:r>
      <w:r w:rsidR="007F0B06">
        <w:rPr>
          <w:color w:val="FF0000"/>
        </w:rPr>
        <w:t>extérieur</w:t>
      </w:r>
      <w:r w:rsidR="00A62592" w:rsidRPr="0044567E">
        <w:rPr>
          <w:color w:val="FF0000"/>
        </w:rPr>
        <w:t>)</w:t>
      </w:r>
    </w:p>
    <w:p w:rsidR="00A62592" w:rsidRPr="0044567E" w:rsidRDefault="001D1F7E" w:rsidP="00A62592">
      <w:pPr>
        <w:pStyle w:val="PargrafodaLista"/>
        <w:numPr>
          <w:ilvl w:val="0"/>
          <w:numId w:val="4"/>
        </w:numPr>
        <w:rPr>
          <w:color w:val="FF0000"/>
        </w:rPr>
      </w:pPr>
      <w:r>
        <w:rPr>
          <w:color w:val="FF0000"/>
        </w:rPr>
        <w:t xml:space="preserve">En identifiants les types </w:t>
      </w:r>
      <w:r w:rsidR="007F0B06">
        <w:rPr>
          <w:color w:val="FF0000"/>
        </w:rPr>
        <w:t>différentes</w:t>
      </w:r>
      <w:r>
        <w:rPr>
          <w:color w:val="FF0000"/>
        </w:rPr>
        <w:t xml:space="preserve"> d’interventions </w:t>
      </w:r>
      <w:r w:rsidR="00A62592" w:rsidRPr="0044567E">
        <w:rPr>
          <w:color w:val="FF0000"/>
        </w:rPr>
        <w:t>(</w:t>
      </w:r>
      <w:r>
        <w:rPr>
          <w:color w:val="FF0000"/>
        </w:rPr>
        <w:t>trois cercles gris</w:t>
      </w:r>
      <w:r w:rsidR="00A62592" w:rsidRPr="0044567E">
        <w:rPr>
          <w:color w:val="FF0000"/>
        </w:rPr>
        <w:t xml:space="preserve">) </w:t>
      </w:r>
      <w:r>
        <w:rPr>
          <w:color w:val="FF0000"/>
        </w:rPr>
        <w:t xml:space="preserve">que des organisations </w:t>
      </w:r>
      <w:r w:rsidR="007F0B06">
        <w:rPr>
          <w:color w:val="FF0000"/>
        </w:rPr>
        <w:t>spécifiques</w:t>
      </w:r>
      <w:r>
        <w:rPr>
          <w:color w:val="FF0000"/>
        </w:rPr>
        <w:t xml:space="preserve"> devraient mener autour de l’</w:t>
      </w:r>
      <w:r w:rsidR="007F0B06">
        <w:rPr>
          <w:color w:val="FF0000"/>
        </w:rPr>
        <w:t>année</w:t>
      </w:r>
      <w:r>
        <w:rPr>
          <w:color w:val="FF0000"/>
        </w:rPr>
        <w:t xml:space="preserve"> </w:t>
      </w:r>
      <w:r w:rsidR="00A62592" w:rsidRPr="0044567E">
        <w:rPr>
          <w:color w:val="FF0000"/>
        </w:rPr>
        <w:t xml:space="preserve"> </w:t>
      </w:r>
    </w:p>
    <w:p w:rsidR="00A62592" w:rsidRPr="001D1F7E" w:rsidRDefault="001D1F7E" w:rsidP="001D1F7E">
      <w:pPr>
        <w:rPr>
          <w:color w:val="FF0000"/>
        </w:rPr>
      </w:pPr>
      <w:r>
        <w:rPr>
          <w:color w:val="FF0000"/>
        </w:rPr>
        <w:t xml:space="preserve">4)  </w:t>
      </w:r>
      <w:r w:rsidRPr="001D1F7E">
        <w:rPr>
          <w:color w:val="FF0000"/>
        </w:rPr>
        <w:t xml:space="preserve">Utilisez le </w:t>
      </w:r>
      <w:r w:rsidR="007F0B06" w:rsidRPr="001D1F7E">
        <w:rPr>
          <w:color w:val="FF0000"/>
        </w:rPr>
        <w:t>schéma</w:t>
      </w:r>
      <w:r w:rsidRPr="001D1F7E">
        <w:rPr>
          <w:color w:val="FF0000"/>
        </w:rPr>
        <w:t xml:space="preserve"> adapte au pays comme base pour les discussions sur les </w:t>
      </w:r>
      <w:r w:rsidR="007F0B06" w:rsidRPr="001D1F7E">
        <w:rPr>
          <w:color w:val="FF0000"/>
        </w:rPr>
        <w:t>écarts</w:t>
      </w:r>
      <w:r w:rsidRPr="001D1F7E">
        <w:rPr>
          <w:color w:val="FF0000"/>
        </w:rPr>
        <w:t xml:space="preserve">, </w:t>
      </w:r>
      <w:r w:rsidR="007F0B06" w:rsidRPr="001D1F7E">
        <w:rPr>
          <w:color w:val="FF0000"/>
        </w:rPr>
        <w:t>opportunités</w:t>
      </w:r>
      <w:r w:rsidRPr="001D1F7E">
        <w:rPr>
          <w:color w:val="FF0000"/>
        </w:rPr>
        <w:t xml:space="preserve"> d'actions pour l’avenir et pour </w:t>
      </w:r>
      <w:r w:rsidR="007F0B06" w:rsidRPr="001D1F7E">
        <w:rPr>
          <w:color w:val="FF0000"/>
        </w:rPr>
        <w:t>développer</w:t>
      </w:r>
      <w:r w:rsidRPr="001D1F7E">
        <w:rPr>
          <w:color w:val="FF0000"/>
        </w:rPr>
        <w:t xml:space="preserve"> les plans de travail</w:t>
      </w:r>
      <w:r w:rsidR="00A62592" w:rsidRPr="001D1F7E">
        <w:rPr>
          <w:color w:val="FF0000"/>
        </w:rPr>
        <w:t>.</w:t>
      </w:r>
    </w:p>
    <w:tbl>
      <w:tblPr>
        <w:tblStyle w:val="Tabelacomgrade"/>
        <w:tblW w:w="0" w:type="auto"/>
        <w:tblLook w:val="04A0" w:firstRow="1" w:lastRow="0" w:firstColumn="1" w:lastColumn="0" w:noHBand="0" w:noVBand="1"/>
      </w:tblPr>
      <w:tblGrid>
        <w:gridCol w:w="13948"/>
      </w:tblGrid>
      <w:tr w:rsidR="00DB64E9" w:rsidTr="007F0B06">
        <w:trPr>
          <w:trHeight w:val="1178"/>
        </w:trPr>
        <w:tc>
          <w:tcPr>
            <w:tcW w:w="13948" w:type="dxa"/>
          </w:tcPr>
          <w:p w:rsidR="00A62592" w:rsidRDefault="00A62592" w:rsidP="00090B4A">
            <w:pPr>
              <w:pStyle w:val="NormalWeb"/>
              <w:spacing w:before="240" w:beforeAutospacing="0"/>
              <w:rPr>
                <w:rFonts w:ascii="Arial" w:hAnsi="Arial"/>
                <w:sz w:val="20"/>
              </w:rPr>
            </w:pPr>
            <w:r>
              <w:rPr>
                <w:rFonts w:ascii="Arial" w:hAnsi="Arial"/>
                <w:b/>
                <w:color w:val="000000"/>
                <w:sz w:val="20"/>
              </w:rPr>
              <w:t>© Oxfam</w:t>
            </w:r>
            <w:r>
              <w:rPr>
                <w:rFonts w:ascii="Arial" w:hAnsi="Arial"/>
                <w:sz w:val="20"/>
              </w:rPr>
              <w:t xml:space="preserve"> octobre 2017</w:t>
            </w:r>
          </w:p>
          <w:p w:rsidR="009C74FF" w:rsidRDefault="009C74FF" w:rsidP="00090B4A">
            <w:pPr>
              <w:pStyle w:val="NormalWeb"/>
              <w:spacing w:before="240" w:beforeAutospacing="0"/>
              <w:rPr>
                <w:rFonts w:ascii="Arial" w:hAnsi="Arial"/>
                <w:sz w:val="20"/>
              </w:rPr>
            </w:pPr>
            <w:r>
              <w:rPr>
                <w:rFonts w:ascii="Arial" w:hAnsi="Arial"/>
                <w:sz w:val="20"/>
              </w:rPr>
              <w:t>Ce</w:t>
            </w:r>
            <w:r w:rsidR="00DB64E9">
              <w:rPr>
                <w:rFonts w:ascii="Arial" w:hAnsi="Arial"/>
                <w:sz w:val="20"/>
              </w:rPr>
              <w:t xml:space="preserve"> </w:t>
            </w:r>
            <w:r w:rsidR="007F0B06">
              <w:rPr>
                <w:rFonts w:ascii="Arial" w:hAnsi="Arial"/>
                <w:color w:val="FF0000"/>
                <w:sz w:val="20"/>
              </w:rPr>
              <w:t>schéma</w:t>
            </w:r>
            <w:r w:rsidR="00DB64E9">
              <w:rPr>
                <w:rFonts w:ascii="Arial" w:hAnsi="Arial"/>
                <w:sz w:val="20"/>
              </w:rPr>
              <w:t xml:space="preserve"> a été produit par Mary-Ann Stephenson du Women's Budget Group (Royaume-Uni), une organisation indépendante à but non lucratif qui examine en particulier le budget du Royaume-Uni. L'outil reflète les commentaires de plusieurs membres du personnel d'Oxfam. </w:t>
            </w:r>
          </w:p>
          <w:p w:rsidR="00DB64E9" w:rsidRDefault="00DB64E9" w:rsidP="00090B4A">
            <w:pPr>
              <w:pStyle w:val="NormalWeb"/>
              <w:spacing w:before="240" w:beforeAutospacing="0"/>
              <w:rPr>
                <w:rFonts w:ascii="Arial" w:hAnsi="Arial"/>
                <w:sz w:val="20"/>
              </w:rPr>
            </w:pPr>
            <w:r>
              <w:rPr>
                <w:rFonts w:ascii="Arial" w:hAnsi="Arial"/>
                <w:sz w:val="20"/>
              </w:rPr>
              <w:t xml:space="preserve">Pour plus d'informations sur </w:t>
            </w:r>
            <w:r w:rsidR="009C74FF">
              <w:rPr>
                <w:rFonts w:ascii="Arial" w:hAnsi="Arial"/>
                <w:sz w:val="20"/>
              </w:rPr>
              <w:t xml:space="preserve">ce </w:t>
            </w:r>
            <w:r w:rsidR="007F0B06">
              <w:rPr>
                <w:rFonts w:ascii="Arial" w:hAnsi="Arial"/>
                <w:color w:val="FF0000"/>
                <w:sz w:val="20"/>
              </w:rPr>
              <w:t>schéma</w:t>
            </w:r>
            <w:r>
              <w:rPr>
                <w:rFonts w:ascii="Arial" w:hAnsi="Arial"/>
                <w:sz w:val="20"/>
              </w:rPr>
              <w:t>, contactez : Clare Coffey (</w:t>
            </w:r>
            <w:hyperlink r:id="rId12" w:history="1">
              <w:r w:rsidR="003C3A1D" w:rsidRPr="005A4C3F">
                <w:rPr>
                  <w:rStyle w:val="Hyperlink"/>
                  <w:rFonts w:ascii="Arial" w:hAnsi="Arial"/>
                  <w:sz w:val="20"/>
                </w:rPr>
                <w:t>CCoffey@oxfam.org.uk</w:t>
              </w:r>
            </w:hyperlink>
            <w:r>
              <w:rPr>
                <w:rFonts w:ascii="Arial" w:hAnsi="Arial"/>
                <w:sz w:val="20"/>
              </w:rPr>
              <w:t>)</w:t>
            </w:r>
          </w:p>
          <w:p w:rsidR="003C3A1D" w:rsidRPr="000536C8" w:rsidRDefault="003C3A1D" w:rsidP="00090B4A">
            <w:pPr>
              <w:pStyle w:val="NormalWeb"/>
              <w:spacing w:before="240" w:beforeAutospacing="0"/>
              <w:rPr>
                <w:rFonts w:ascii="Arial" w:hAnsi="Arial" w:cs="Arial"/>
                <w:sz w:val="20"/>
                <w:szCs w:val="20"/>
              </w:rPr>
            </w:pPr>
          </w:p>
        </w:tc>
      </w:tr>
    </w:tbl>
    <w:p w:rsidR="004E0EC1" w:rsidRDefault="004E0EC1" w:rsidP="007F0B06">
      <w:pPr>
        <w:rPr>
          <w:rFonts w:ascii="Arial" w:hAnsi="Arial" w:cs="Arial"/>
          <w:b/>
          <w:color w:val="000000"/>
          <w:sz w:val="24"/>
          <w:szCs w:val="24"/>
        </w:rPr>
      </w:pPr>
    </w:p>
    <w:sectPr w:rsidR="004E0EC1" w:rsidSect="009E56E2">
      <w:headerReference w:type="default" r:id="rId13"/>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E6B" w:rsidRDefault="007F7E6B" w:rsidP="0086189B">
      <w:pPr>
        <w:spacing w:after="0" w:line="240" w:lineRule="auto"/>
      </w:pPr>
      <w:r>
        <w:separator/>
      </w:r>
    </w:p>
  </w:endnote>
  <w:endnote w:type="continuationSeparator" w:id="0">
    <w:p w:rsidR="007F7E6B" w:rsidRDefault="007F7E6B" w:rsidP="00861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xfam Headline">
    <w:altName w:val="Arial"/>
    <w:charset w:val="00"/>
    <w:family w:val="swiss"/>
    <w:pitch w:val="variable"/>
    <w:sig w:usb0="00000001" w:usb1="1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6C8" w:rsidRDefault="000536C8">
    <w:pPr>
      <w:pStyle w:val="Rodap"/>
    </w:pPr>
  </w:p>
  <w:p w:rsidR="000536C8" w:rsidRPr="0086189B" w:rsidRDefault="000536C8">
    <w:pPr>
      <w:pStyle w:val="Rodap"/>
      <w:rPr>
        <w:rFonts w:ascii="Oxfam Headline" w:hAnsi="Oxfam Headline"/>
        <w:color w:val="A8D08D" w:themeColor="accent6" w:themeTint="99"/>
      </w:rPr>
    </w:pPr>
    <w:r>
      <w:rPr>
        <w:rFonts w:ascii="Oxfam Headline" w:hAnsi="Oxfam Headline"/>
        <w:noProof/>
        <w:color w:val="70AD47" w:themeColor="accent6"/>
        <w:lang w:val="pt-BR" w:eastAsia="pt-BR" w:bidi="ar-SA"/>
      </w:rPr>
      <w:drawing>
        <wp:anchor distT="0" distB="0" distL="114300" distR="114300" simplePos="0" relativeHeight="251659264" behindDoc="0" locked="0" layoutInCell="1" allowOverlap="1">
          <wp:simplePos x="0" y="0"/>
          <wp:positionH relativeFrom="column">
            <wp:posOffset>-38100</wp:posOffset>
          </wp:positionH>
          <wp:positionV relativeFrom="paragraph">
            <wp:posOffset>4445</wp:posOffset>
          </wp:positionV>
          <wp:extent cx="2000250" cy="752475"/>
          <wp:effectExtent l="19050" t="0" r="0" b="0"/>
          <wp:wrapSquare wrapText="bothSides"/>
          <wp:docPr id="6" name="Picture 6" descr="C:\Users\Mary-Ann\Dropbox\WBG\Communications\Website\Logo_suggestion_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Ann\Dropbox\WBG\Communications\Website\Logo_suggestion_websi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0250" cy="752475"/>
                  </a:xfrm>
                  <a:prstGeom prst="rect">
                    <a:avLst/>
                  </a:prstGeom>
                  <a:noFill/>
                  <a:ln>
                    <a:noFill/>
                  </a:ln>
                </pic:spPr>
              </pic:pic>
            </a:graphicData>
          </a:graphic>
        </wp:anchor>
      </w:drawing>
    </w:r>
    <w:r>
      <w:rPr>
        <w:rFonts w:ascii="Oxfam Headline" w:hAnsi="Oxfam Headline"/>
        <w:color w:val="70AD47" w:themeColor="accent6"/>
      </w:rPr>
      <w:t xml:space="preserve">  </w:t>
    </w:r>
    <w:r>
      <w:rPr>
        <w:rFonts w:ascii="Oxfam Headline" w:hAnsi="Oxfam Headline"/>
        <w:color w:val="A8D08D" w:themeColor="accent6" w:themeTint="99"/>
      </w:rPr>
      <w:t xml:space="preserve">                                                                                             </w:t>
    </w:r>
    <w:r>
      <w:tab/>
    </w:r>
    <w:r>
      <w:tab/>
    </w:r>
    <w:r>
      <w:tab/>
    </w:r>
    <w:r>
      <w:tab/>
    </w:r>
    <w:r>
      <w:tab/>
    </w:r>
    <w:r>
      <w:rPr>
        <w:rFonts w:ascii="Oxfam Headline" w:hAnsi="Oxfam Headline"/>
        <w:color w:val="A8D08D" w:themeColor="accent6" w:themeTint="99"/>
      </w:rPr>
      <w:t xml:space="preserve">            </w:t>
    </w:r>
    <w:r w:rsidR="00DC6957">
      <w:rPr>
        <w:noProof/>
        <w:lang w:val="pt-BR" w:eastAsia="pt-BR" w:bidi="ar-SA"/>
      </w:rPr>
      <w:drawing>
        <wp:inline distT="0" distB="0" distL="0" distR="0" wp14:anchorId="5A83D40A" wp14:editId="0E6A730E">
          <wp:extent cx="571167" cy="638175"/>
          <wp:effectExtent l="19050" t="0" r="333" b="0"/>
          <wp:docPr id="9" name="Picture 4" descr="https://sumus.oxfam.org/sites/all/files/imagecache/group_image_description/group_images/logo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mus.oxfam.org/sites/all/files/imagecache/group_image_description/group_images/logo_0.png"/>
                  <pic:cNvPicPr>
                    <a:picLocks noChangeAspect="1" noChangeArrowheads="1"/>
                  </pic:cNvPicPr>
                </pic:nvPicPr>
                <pic:blipFill>
                  <a:blip r:embed="rId2"/>
                  <a:srcRect/>
                  <a:stretch>
                    <a:fillRect/>
                  </a:stretch>
                </pic:blipFill>
                <pic:spPr bwMode="auto">
                  <a:xfrm>
                    <a:off x="0" y="0"/>
                    <a:ext cx="571167" cy="63817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E6B" w:rsidRDefault="007F7E6B" w:rsidP="0086189B">
      <w:pPr>
        <w:spacing w:after="0" w:line="240" w:lineRule="auto"/>
      </w:pPr>
      <w:bookmarkStart w:id="0" w:name="_Hlk494467648"/>
      <w:bookmarkEnd w:id="0"/>
      <w:r>
        <w:separator/>
      </w:r>
    </w:p>
  </w:footnote>
  <w:footnote w:type="continuationSeparator" w:id="0">
    <w:p w:rsidR="007F7E6B" w:rsidRDefault="007F7E6B" w:rsidP="008618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6C8" w:rsidRDefault="000536C8">
    <w:pPr>
      <w:pStyle w:val="Cabealho"/>
    </w:pPr>
    <w:r>
      <w:rPr>
        <w:noProof/>
        <w:lang w:val="pt-BR" w:eastAsia="pt-BR" w:bidi="ar-SA"/>
      </w:rPr>
      <w:drawing>
        <wp:anchor distT="36576" distB="36576" distL="36576" distR="36576" simplePos="0" relativeHeight="251661312" behindDoc="0" locked="0" layoutInCell="1" allowOverlap="1">
          <wp:simplePos x="0" y="0"/>
          <wp:positionH relativeFrom="column">
            <wp:posOffset>-971551</wp:posOffset>
          </wp:positionH>
          <wp:positionV relativeFrom="paragraph">
            <wp:posOffset>-440056</wp:posOffset>
          </wp:positionV>
          <wp:extent cx="10764135" cy="2543175"/>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71966" cy="2545025"/>
                  </a:xfrm>
                  <a:prstGeom prst="rect">
                    <a:avLst/>
                  </a:prstGeom>
                  <a:noFill/>
                  <a:ln>
                    <a:noFill/>
                  </a:ln>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6E2" w:rsidRPr="009E56E2" w:rsidRDefault="009E56E2" w:rsidP="009E56E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A1D" w:rsidRPr="009E56E2" w:rsidRDefault="003C3A1D" w:rsidP="009E56E2">
    <w:pPr>
      <w:pStyle w:val="Cabealho"/>
    </w:pPr>
    <w:r>
      <w:rPr>
        <w:noProof/>
        <w:lang w:val="pt-BR" w:eastAsia="pt-BR" w:bidi="ar-SA"/>
      </w:rPr>
      <w:drawing>
        <wp:anchor distT="36576" distB="36576" distL="36576" distR="36576" simplePos="0" relativeHeight="251665408" behindDoc="0" locked="0" layoutInCell="1" allowOverlap="1" wp14:anchorId="0CBD9D29" wp14:editId="6142F6A6">
          <wp:simplePos x="0" y="0"/>
          <wp:positionH relativeFrom="column">
            <wp:posOffset>-400050</wp:posOffset>
          </wp:positionH>
          <wp:positionV relativeFrom="paragraph">
            <wp:posOffset>-440055</wp:posOffset>
          </wp:positionV>
          <wp:extent cx="10763250" cy="2543175"/>
          <wp:effectExtent l="1905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63250" cy="2543175"/>
                  </a:xfrm>
                  <a:prstGeom prst="rect">
                    <a:avLst/>
                  </a:prstGeom>
                  <a:noFill/>
                  <a:ln>
                    <a:noFill/>
                  </a:ln>
                  <a:effectLst/>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6E2" w:rsidRPr="009E56E2" w:rsidRDefault="009E56E2" w:rsidP="009E56E2">
    <w:pPr>
      <w:pStyle w:val="Cabealho"/>
    </w:pPr>
    <w:r>
      <w:rPr>
        <w:noProof/>
        <w:lang w:val="pt-BR" w:eastAsia="pt-BR" w:bidi="ar-SA"/>
      </w:rPr>
      <w:drawing>
        <wp:anchor distT="36576" distB="36576" distL="36576" distR="36576" simplePos="0" relativeHeight="251663360" behindDoc="0" locked="0" layoutInCell="1" allowOverlap="1">
          <wp:simplePos x="0" y="0"/>
          <wp:positionH relativeFrom="column">
            <wp:posOffset>-933450</wp:posOffset>
          </wp:positionH>
          <wp:positionV relativeFrom="paragraph">
            <wp:posOffset>-449580</wp:posOffset>
          </wp:positionV>
          <wp:extent cx="10763250" cy="2543175"/>
          <wp:effectExtent l="1905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63250" cy="2543175"/>
                  </a:xfrm>
                  <a:prstGeom prst="rect">
                    <a:avLst/>
                  </a:prstGeom>
                  <a:noFill/>
                  <a:ln>
                    <a:noFill/>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936D9"/>
    <w:multiLevelType w:val="hybridMultilevel"/>
    <w:tmpl w:val="C1462A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B5930"/>
    <w:multiLevelType w:val="hybridMultilevel"/>
    <w:tmpl w:val="C13A7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7E52A8"/>
    <w:multiLevelType w:val="hybridMultilevel"/>
    <w:tmpl w:val="7934509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940599"/>
    <w:multiLevelType w:val="hybridMultilevel"/>
    <w:tmpl w:val="D3D41B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4"/>
    <w:rsid w:val="00043868"/>
    <w:rsid w:val="000536C8"/>
    <w:rsid w:val="00090B4A"/>
    <w:rsid w:val="00180557"/>
    <w:rsid w:val="001A20B6"/>
    <w:rsid w:val="001D1A9D"/>
    <w:rsid w:val="001D1F7E"/>
    <w:rsid w:val="00210F3F"/>
    <w:rsid w:val="003755D8"/>
    <w:rsid w:val="003877D9"/>
    <w:rsid w:val="003C3A1D"/>
    <w:rsid w:val="003D162E"/>
    <w:rsid w:val="003D1B7F"/>
    <w:rsid w:val="00440F7F"/>
    <w:rsid w:val="004B296C"/>
    <w:rsid w:val="004E0EC1"/>
    <w:rsid w:val="00584417"/>
    <w:rsid w:val="0059751D"/>
    <w:rsid w:val="00601386"/>
    <w:rsid w:val="00624326"/>
    <w:rsid w:val="00627E14"/>
    <w:rsid w:val="00631D81"/>
    <w:rsid w:val="006C05E2"/>
    <w:rsid w:val="00773D51"/>
    <w:rsid w:val="007F0B06"/>
    <w:rsid w:val="007F567D"/>
    <w:rsid w:val="007F7E6B"/>
    <w:rsid w:val="0086189B"/>
    <w:rsid w:val="00864AE4"/>
    <w:rsid w:val="008823A8"/>
    <w:rsid w:val="0088680C"/>
    <w:rsid w:val="008C399C"/>
    <w:rsid w:val="008E5BA7"/>
    <w:rsid w:val="00902D9C"/>
    <w:rsid w:val="00912403"/>
    <w:rsid w:val="00935301"/>
    <w:rsid w:val="009B4CAB"/>
    <w:rsid w:val="009C74FF"/>
    <w:rsid w:val="009E56E2"/>
    <w:rsid w:val="00A62592"/>
    <w:rsid w:val="00A959D7"/>
    <w:rsid w:val="00AD5569"/>
    <w:rsid w:val="00AD7BBB"/>
    <w:rsid w:val="00B55AD4"/>
    <w:rsid w:val="00B61881"/>
    <w:rsid w:val="00B631D0"/>
    <w:rsid w:val="00B7728D"/>
    <w:rsid w:val="00BE750A"/>
    <w:rsid w:val="00C170FB"/>
    <w:rsid w:val="00CA07D7"/>
    <w:rsid w:val="00CD1788"/>
    <w:rsid w:val="00CE6083"/>
    <w:rsid w:val="00D25800"/>
    <w:rsid w:val="00D76E78"/>
    <w:rsid w:val="00DB64E9"/>
    <w:rsid w:val="00DC660D"/>
    <w:rsid w:val="00DC6957"/>
    <w:rsid w:val="00E12F56"/>
    <w:rsid w:val="00E71D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5E4278-49CA-45ED-9DD0-738F8E10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CA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6189B"/>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86189B"/>
  </w:style>
  <w:style w:type="paragraph" w:styleId="Rodap">
    <w:name w:val="footer"/>
    <w:basedOn w:val="Normal"/>
    <w:link w:val="RodapChar"/>
    <w:uiPriority w:val="99"/>
    <w:unhideWhenUsed/>
    <w:rsid w:val="0086189B"/>
    <w:pPr>
      <w:tabs>
        <w:tab w:val="center" w:pos="4513"/>
        <w:tab w:val="right" w:pos="9026"/>
      </w:tabs>
      <w:spacing w:after="0" w:line="240" w:lineRule="auto"/>
    </w:pPr>
  </w:style>
  <w:style w:type="character" w:customStyle="1" w:styleId="RodapChar">
    <w:name w:val="Rodapé Char"/>
    <w:basedOn w:val="Fontepargpadro"/>
    <w:link w:val="Rodap"/>
    <w:uiPriority w:val="99"/>
    <w:rsid w:val="0086189B"/>
  </w:style>
  <w:style w:type="paragraph" w:styleId="Textodebalo">
    <w:name w:val="Balloon Text"/>
    <w:basedOn w:val="Normal"/>
    <w:link w:val="TextodebaloChar"/>
    <w:uiPriority w:val="99"/>
    <w:semiHidden/>
    <w:unhideWhenUsed/>
    <w:rsid w:val="0086189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189B"/>
    <w:rPr>
      <w:rFonts w:ascii="Tahoma" w:hAnsi="Tahoma" w:cs="Tahoma"/>
      <w:sz w:val="16"/>
      <w:szCs w:val="16"/>
    </w:rPr>
  </w:style>
  <w:style w:type="paragraph" w:styleId="PargrafodaLista">
    <w:name w:val="List Paragraph"/>
    <w:basedOn w:val="Normal"/>
    <w:uiPriority w:val="34"/>
    <w:qFormat/>
    <w:rsid w:val="00A959D7"/>
    <w:pPr>
      <w:ind w:left="720"/>
      <w:contextualSpacing/>
    </w:pPr>
  </w:style>
  <w:style w:type="table" w:styleId="Tabelacomgrade">
    <w:name w:val="Table Grid"/>
    <w:basedOn w:val="Tabelanormal"/>
    <w:uiPriority w:val="39"/>
    <w:rsid w:val="00DB6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64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mino-highlight-yellow">
    <w:name w:val="domino-highlight-yellow"/>
    <w:basedOn w:val="Fontepargpadro"/>
    <w:rsid w:val="00DB64E9"/>
  </w:style>
  <w:style w:type="character" w:styleId="Hyperlink">
    <w:name w:val="Hyperlink"/>
    <w:basedOn w:val="Fontepargpadro"/>
    <w:uiPriority w:val="99"/>
    <w:unhideWhenUsed/>
    <w:rsid w:val="003C3A1D"/>
    <w:rPr>
      <w:color w:val="0563C1" w:themeColor="hyperlink"/>
      <w:u w:val="single"/>
    </w:rPr>
  </w:style>
  <w:style w:type="character" w:customStyle="1" w:styleId="Mention">
    <w:name w:val="Mention"/>
    <w:basedOn w:val="Fontepargpadro"/>
    <w:uiPriority w:val="99"/>
    <w:semiHidden/>
    <w:unhideWhenUsed/>
    <w:rsid w:val="003C3A1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221516">
      <w:bodyDiv w:val="1"/>
      <w:marLeft w:val="0"/>
      <w:marRight w:val="0"/>
      <w:marTop w:val="0"/>
      <w:marBottom w:val="0"/>
      <w:divBdr>
        <w:top w:val="none" w:sz="0" w:space="0" w:color="auto"/>
        <w:left w:val="none" w:sz="0" w:space="0" w:color="auto"/>
        <w:bottom w:val="none" w:sz="0" w:space="0" w:color="auto"/>
        <w:right w:val="none" w:sz="0" w:space="0" w:color="auto"/>
      </w:divBdr>
      <w:divsChild>
        <w:div w:id="818495892">
          <w:marLeft w:val="0"/>
          <w:marRight w:val="0"/>
          <w:marTop w:val="0"/>
          <w:marBottom w:val="0"/>
          <w:divBdr>
            <w:top w:val="none" w:sz="0" w:space="0" w:color="auto"/>
            <w:left w:val="none" w:sz="0" w:space="0" w:color="auto"/>
            <w:bottom w:val="none" w:sz="0" w:space="0" w:color="auto"/>
            <w:right w:val="none" w:sz="0" w:space="0" w:color="auto"/>
          </w:divBdr>
          <w:divsChild>
            <w:div w:id="61224321">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Coffey@oxfam.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705</Words>
  <Characters>3810</Characters>
  <Application>Microsoft Office Word</Application>
  <DocSecurity>0</DocSecurity>
  <Lines>31</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Oxfam GB</Company>
  <LinksUpToDate>false</LinksUpToDate>
  <CharactersWithSpaces>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 Stephenson</dc:creator>
  <cp:lastModifiedBy>Conta da Microsoft</cp:lastModifiedBy>
  <cp:revision>2</cp:revision>
  <dcterms:created xsi:type="dcterms:W3CDTF">2022-06-28T02:31:00Z</dcterms:created>
  <dcterms:modified xsi:type="dcterms:W3CDTF">2022-06-28T02:31:00Z</dcterms:modified>
</cp:coreProperties>
</file>